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E05AC" w14:textId="77777777" w:rsidR="00D64DDE" w:rsidRPr="00D04475" w:rsidRDefault="00D64DDE" w:rsidP="00D64DDE">
      <w:pPr>
        <w:spacing w:after="0" w:line="240" w:lineRule="auto"/>
        <w:jc w:val="both"/>
        <w:rPr>
          <w:rFonts w:ascii="Times New Roman" w:hAnsi="Times New Roman" w:cs="Times New Roman"/>
          <w:b/>
          <w:color w:val="222222"/>
          <w:sz w:val="24"/>
          <w:szCs w:val="24"/>
          <w:lang w:val="es-ES_tradnl" w:eastAsia="es-ES"/>
        </w:rPr>
      </w:pPr>
      <w:r w:rsidRPr="00073699">
        <w:rPr>
          <w:rFonts w:ascii="Times New Roman" w:hAnsi="Times New Roman" w:cs="Times New Roman"/>
          <w:b/>
          <w:color w:val="222222"/>
          <w:sz w:val="24"/>
          <w:szCs w:val="24"/>
          <w:lang w:val="es-ES_tradnl" w:eastAsia="es-ES"/>
        </w:rPr>
        <w:t>Eje</w:t>
      </w:r>
      <w:r>
        <w:rPr>
          <w:rFonts w:ascii="Times New Roman" w:hAnsi="Times New Roman" w:cs="Times New Roman"/>
          <w:b/>
          <w:color w:val="222222"/>
          <w:sz w:val="24"/>
          <w:szCs w:val="24"/>
          <w:lang w:val="es-ES_tradnl" w:eastAsia="es-ES"/>
        </w:rPr>
        <w:t xml:space="preserve"> seleccionado para la comunicación</w:t>
      </w:r>
      <w:r w:rsidRPr="00073699">
        <w:rPr>
          <w:rFonts w:ascii="Times New Roman" w:hAnsi="Times New Roman" w:cs="Times New Roman"/>
          <w:b/>
          <w:color w:val="222222"/>
          <w:sz w:val="24"/>
          <w:szCs w:val="24"/>
          <w:lang w:val="es-ES_tradnl" w:eastAsia="es-ES"/>
        </w:rPr>
        <w:t xml:space="preserve">: </w:t>
      </w:r>
      <w:r>
        <w:rPr>
          <w:rFonts w:ascii="Times New Roman" w:hAnsi="Times New Roman" w:cs="Times New Roman"/>
          <w:b/>
          <w:color w:val="222222"/>
          <w:sz w:val="24"/>
          <w:szCs w:val="24"/>
          <w:lang w:val="es-ES_tradnl" w:eastAsia="es-ES"/>
        </w:rPr>
        <w:t>03. La nueva ley catalana sobre el cambio climático: análisis y perspectivas.</w:t>
      </w:r>
    </w:p>
    <w:p w14:paraId="56AC6BDA" w14:textId="77777777" w:rsidR="00D64DDE" w:rsidRPr="001A3055" w:rsidRDefault="00D64DDE" w:rsidP="00D64DDE">
      <w:pPr>
        <w:spacing w:after="0" w:line="240" w:lineRule="auto"/>
        <w:jc w:val="both"/>
        <w:rPr>
          <w:rFonts w:ascii="Times New Roman" w:hAnsi="Times New Roman" w:cs="Times New Roman"/>
          <w:color w:val="222222"/>
          <w:sz w:val="24"/>
          <w:szCs w:val="24"/>
          <w:lang w:val="es-ES_tradnl" w:eastAsia="es-ES"/>
        </w:rPr>
      </w:pPr>
    </w:p>
    <w:p w14:paraId="2FB27844" w14:textId="77777777" w:rsidR="00D64DDE" w:rsidRDefault="00D64DDE" w:rsidP="00D64DDE">
      <w:pPr>
        <w:spacing w:after="0" w:line="240" w:lineRule="auto"/>
        <w:jc w:val="both"/>
        <w:rPr>
          <w:rFonts w:ascii="Times New Roman" w:hAnsi="Times New Roman" w:cs="Times New Roman"/>
          <w:b/>
          <w:color w:val="222222"/>
          <w:sz w:val="24"/>
          <w:szCs w:val="24"/>
          <w:lang w:val="es-ES_tradnl" w:eastAsia="es-ES"/>
        </w:rPr>
      </w:pPr>
      <w:r w:rsidRPr="006F517A">
        <w:rPr>
          <w:rFonts w:ascii="Times New Roman" w:hAnsi="Times New Roman" w:cs="Times New Roman"/>
          <w:b/>
          <w:color w:val="222222"/>
          <w:sz w:val="24"/>
          <w:szCs w:val="24"/>
          <w:lang w:val="es-ES_tradnl" w:eastAsia="es-ES"/>
        </w:rPr>
        <w:t xml:space="preserve">Título de la comunicación: </w:t>
      </w:r>
    </w:p>
    <w:p w14:paraId="6CBC9C05" w14:textId="77777777" w:rsidR="00D64DDE" w:rsidRDefault="00D64DDE" w:rsidP="00D64DDE">
      <w:pPr>
        <w:spacing w:after="0" w:line="240" w:lineRule="auto"/>
        <w:jc w:val="both"/>
        <w:rPr>
          <w:rFonts w:ascii="Times New Roman" w:hAnsi="Times New Roman" w:cs="Times New Roman"/>
          <w:b/>
          <w:color w:val="222222"/>
          <w:sz w:val="24"/>
          <w:szCs w:val="24"/>
          <w:lang w:val="es-ES_tradnl" w:eastAsia="es-ES"/>
        </w:rPr>
      </w:pPr>
    </w:p>
    <w:p w14:paraId="1ABA6B6C" w14:textId="77777777" w:rsidR="00D64DDE" w:rsidRPr="001E4CEE" w:rsidRDefault="00D64DDE" w:rsidP="00D64DDE">
      <w:pPr>
        <w:spacing w:after="0" w:line="240" w:lineRule="auto"/>
        <w:jc w:val="center"/>
        <w:rPr>
          <w:rFonts w:ascii="Times New Roman" w:hAnsi="Times New Roman" w:cs="Times New Roman"/>
          <w:b/>
          <w:color w:val="222222"/>
          <w:sz w:val="28"/>
          <w:szCs w:val="28"/>
          <w:lang w:val="es-ES_tradnl" w:eastAsia="es-ES"/>
        </w:rPr>
      </w:pPr>
      <w:r w:rsidRPr="001E4CEE">
        <w:rPr>
          <w:rFonts w:ascii="Times New Roman" w:hAnsi="Times New Roman" w:cs="Times New Roman"/>
          <w:b/>
          <w:color w:val="222222"/>
          <w:sz w:val="28"/>
          <w:szCs w:val="28"/>
          <w:lang w:val="es-ES_tradnl" w:eastAsia="es-ES"/>
        </w:rPr>
        <w:t xml:space="preserve">La apuesta jurídica catalana en materia de cambio climático: sus retos en agricultura y alimentación en un contexto de reforma de la PAC. </w:t>
      </w:r>
    </w:p>
    <w:p w14:paraId="7CB7CE98" w14:textId="77777777" w:rsidR="00D64DDE" w:rsidRPr="001E4CEE" w:rsidRDefault="00D64DDE" w:rsidP="00D64DDE">
      <w:pPr>
        <w:spacing w:after="0" w:line="240" w:lineRule="auto"/>
        <w:jc w:val="both"/>
        <w:rPr>
          <w:rFonts w:ascii="Times New Roman" w:hAnsi="Times New Roman" w:cs="Times New Roman"/>
          <w:b/>
          <w:color w:val="222222"/>
          <w:sz w:val="28"/>
          <w:szCs w:val="28"/>
          <w:lang w:val="es-ES_tradnl" w:eastAsia="es-ES"/>
        </w:rPr>
      </w:pPr>
    </w:p>
    <w:p w14:paraId="327D9E8C" w14:textId="77777777" w:rsidR="00D64DDE" w:rsidRPr="001E4CEE" w:rsidRDefault="00D64DDE" w:rsidP="001E4CEE">
      <w:pPr>
        <w:spacing w:after="0" w:line="240" w:lineRule="auto"/>
        <w:jc w:val="right"/>
        <w:rPr>
          <w:rFonts w:ascii="Times New Roman" w:hAnsi="Times New Roman" w:cs="Times New Roman"/>
          <w:color w:val="222222"/>
          <w:lang w:val="es-ES_tradnl" w:eastAsia="es-ES"/>
        </w:rPr>
      </w:pPr>
    </w:p>
    <w:p w14:paraId="1838281E" w14:textId="77777777" w:rsidR="00D64DDE" w:rsidRPr="001E4CEE" w:rsidRDefault="00D64DDE" w:rsidP="001E4CEE">
      <w:pPr>
        <w:spacing w:after="0" w:line="240" w:lineRule="auto"/>
        <w:jc w:val="right"/>
        <w:rPr>
          <w:rFonts w:ascii="Times New Roman" w:hAnsi="Times New Roman" w:cs="Times New Roman"/>
          <w:color w:val="222222"/>
          <w:lang w:val="es-ES_tradnl" w:eastAsia="es-ES"/>
        </w:rPr>
      </w:pPr>
      <w:r w:rsidRPr="001E4CEE">
        <w:rPr>
          <w:rFonts w:ascii="Times New Roman" w:hAnsi="Times New Roman" w:cs="Times New Roman"/>
          <w:color w:val="222222"/>
          <w:lang w:val="es-ES_tradnl" w:eastAsia="es-ES"/>
        </w:rPr>
        <w:t>ISABEL HERNÁNDEZ SAN JUAN</w:t>
      </w:r>
    </w:p>
    <w:p w14:paraId="3D67D6C6" w14:textId="77777777" w:rsidR="00D64DDE" w:rsidRPr="001E4CEE" w:rsidRDefault="00D64DDE" w:rsidP="001E4CEE">
      <w:pPr>
        <w:spacing w:after="0" w:line="240" w:lineRule="auto"/>
        <w:jc w:val="right"/>
        <w:rPr>
          <w:rFonts w:ascii="Times New Roman" w:hAnsi="Times New Roman" w:cs="Times New Roman"/>
          <w:color w:val="222222"/>
          <w:lang w:val="es-ES_tradnl" w:eastAsia="es-ES"/>
        </w:rPr>
      </w:pPr>
      <w:r w:rsidRPr="001E4CEE">
        <w:rPr>
          <w:rFonts w:ascii="Times New Roman" w:hAnsi="Times New Roman" w:cs="Times New Roman"/>
          <w:color w:val="222222"/>
          <w:lang w:val="es-ES_tradnl" w:eastAsia="es-ES"/>
        </w:rPr>
        <w:t>Profesora ayudante doctora</w:t>
      </w:r>
    </w:p>
    <w:p w14:paraId="53A73588" w14:textId="77777777" w:rsidR="00D64DDE" w:rsidRPr="001E4CEE" w:rsidRDefault="00D64DDE" w:rsidP="001E4CEE">
      <w:pPr>
        <w:spacing w:after="0" w:line="240" w:lineRule="auto"/>
        <w:jc w:val="right"/>
        <w:rPr>
          <w:rFonts w:ascii="Times New Roman" w:hAnsi="Times New Roman" w:cs="Times New Roman"/>
          <w:color w:val="222222"/>
          <w:lang w:val="es-ES_tradnl" w:eastAsia="es-ES"/>
        </w:rPr>
      </w:pPr>
      <w:r w:rsidRPr="001E4CEE">
        <w:rPr>
          <w:rFonts w:ascii="Times New Roman" w:hAnsi="Times New Roman" w:cs="Times New Roman"/>
          <w:color w:val="222222"/>
          <w:lang w:val="es-ES_tradnl" w:eastAsia="es-ES"/>
        </w:rPr>
        <w:t>UNIVERSIDAD CARLOS III DE MADRID</w:t>
      </w:r>
    </w:p>
    <w:p w14:paraId="50BD86CF" w14:textId="77777777" w:rsidR="00D64DDE" w:rsidRPr="001E4CEE" w:rsidRDefault="00D64DDE" w:rsidP="001E4CEE">
      <w:pPr>
        <w:spacing w:after="0" w:line="240" w:lineRule="auto"/>
        <w:jc w:val="right"/>
        <w:rPr>
          <w:rFonts w:ascii="Times New Roman" w:hAnsi="Times New Roman" w:cs="Times New Roman"/>
          <w:color w:val="222222"/>
          <w:lang w:val="es-ES_tradnl" w:eastAsia="es-ES"/>
        </w:rPr>
      </w:pPr>
      <w:hyperlink r:id="rId7" w:history="1">
        <w:r w:rsidRPr="001E4CEE">
          <w:rPr>
            <w:rStyle w:val="Hipervnculo"/>
            <w:rFonts w:ascii="Times New Roman" w:hAnsi="Times New Roman" w:cs="Times New Roman"/>
            <w:lang w:val="es-ES_tradnl" w:eastAsia="es-ES"/>
          </w:rPr>
          <w:t>ihernand@der-pu.uc3m.es</w:t>
        </w:r>
      </w:hyperlink>
    </w:p>
    <w:p w14:paraId="11E99C54" w14:textId="77777777" w:rsidR="00D64DDE" w:rsidRPr="001E4CEE" w:rsidRDefault="00D64DDE" w:rsidP="001E4CEE">
      <w:pPr>
        <w:spacing w:after="0" w:line="240" w:lineRule="auto"/>
        <w:jc w:val="right"/>
        <w:rPr>
          <w:rFonts w:ascii="Times New Roman" w:hAnsi="Times New Roman" w:cs="Times New Roman"/>
          <w:color w:val="222222"/>
          <w:lang w:val="es-ES_tradnl" w:eastAsia="es-ES"/>
        </w:rPr>
      </w:pPr>
    </w:p>
    <w:p w14:paraId="4A1EEFEC" w14:textId="77777777" w:rsidR="00D64DDE" w:rsidRDefault="00D64DDE" w:rsidP="0011162B">
      <w:pPr>
        <w:spacing w:after="0" w:line="240" w:lineRule="auto"/>
        <w:jc w:val="both"/>
        <w:rPr>
          <w:rFonts w:ascii="Times New Roman" w:hAnsi="Times New Roman" w:cs="Times New Roman"/>
          <w:color w:val="222222"/>
          <w:sz w:val="24"/>
          <w:szCs w:val="24"/>
          <w:lang w:val="es-ES_tradnl" w:eastAsia="es-ES"/>
        </w:rPr>
      </w:pPr>
    </w:p>
    <w:p w14:paraId="1FE70D6C" w14:textId="77777777" w:rsidR="0011162B" w:rsidRDefault="0011162B" w:rsidP="0011162B">
      <w:pPr>
        <w:spacing w:after="0" w:line="240" w:lineRule="auto"/>
        <w:jc w:val="both"/>
        <w:rPr>
          <w:rFonts w:ascii="Times New Roman" w:hAnsi="Times New Roman" w:cs="Times New Roman"/>
          <w:color w:val="222222"/>
          <w:sz w:val="24"/>
          <w:szCs w:val="24"/>
          <w:lang w:val="es-ES_tradnl" w:eastAsia="es-ES"/>
        </w:rPr>
      </w:pPr>
      <w:r>
        <w:rPr>
          <w:rFonts w:ascii="Times New Roman" w:hAnsi="Times New Roman" w:cs="Times New Roman"/>
          <w:color w:val="222222"/>
          <w:sz w:val="24"/>
          <w:szCs w:val="24"/>
          <w:lang w:val="es-ES_tradnl" w:eastAsia="es-ES"/>
        </w:rPr>
        <w:t>Institucionalmente se ha advertido del impacto del cambio climático sobre distintos ámbitos: el económico, el político y el jurídico, fundamentalmente. La agricultura y la alimentación son dos de las a</w:t>
      </w:r>
      <w:bookmarkStart w:id="0" w:name="_GoBack"/>
      <w:bookmarkEnd w:id="0"/>
      <w:r>
        <w:rPr>
          <w:rFonts w:ascii="Times New Roman" w:hAnsi="Times New Roman" w:cs="Times New Roman"/>
          <w:color w:val="222222"/>
          <w:sz w:val="24"/>
          <w:szCs w:val="24"/>
          <w:lang w:val="es-ES_tradnl" w:eastAsia="es-ES"/>
        </w:rPr>
        <w:t>ctividades de esos espacios de acción humana. Entidades como Naciones Unidas, FAO</w:t>
      </w:r>
      <w:r>
        <w:rPr>
          <w:rStyle w:val="Refdenotaalpie"/>
          <w:rFonts w:ascii="Times New Roman" w:hAnsi="Times New Roman" w:cs="Times New Roman"/>
          <w:color w:val="222222"/>
          <w:sz w:val="24"/>
          <w:szCs w:val="24"/>
          <w:lang w:val="es-ES_tradnl" w:eastAsia="es-ES"/>
        </w:rPr>
        <w:footnoteReference w:id="1"/>
      </w:r>
      <w:r>
        <w:rPr>
          <w:rFonts w:ascii="Times New Roman" w:hAnsi="Times New Roman" w:cs="Times New Roman"/>
          <w:color w:val="222222"/>
          <w:sz w:val="24"/>
          <w:szCs w:val="24"/>
          <w:lang w:val="es-ES_tradnl" w:eastAsia="es-ES"/>
        </w:rPr>
        <w:t xml:space="preserve"> y la Agencia Europea del Medio Ambiente, entre otras, ponen de relieve que el cambio climático y la agricultura son dos realidades interdependientes. </w:t>
      </w:r>
      <w:r w:rsidRPr="00073699">
        <w:rPr>
          <w:rFonts w:ascii="Times New Roman" w:hAnsi="Times New Roman" w:cs="Times New Roman"/>
          <w:color w:val="222222"/>
          <w:sz w:val="24"/>
          <w:szCs w:val="24"/>
          <w:lang w:val="es-ES_tradnl" w:eastAsia="es-ES"/>
        </w:rPr>
        <w:t>La agricultura contribuye al cambio climático y se ve afectada por el cambio climático</w:t>
      </w:r>
      <w:r>
        <w:rPr>
          <w:rStyle w:val="Refdenotaalpie"/>
          <w:rFonts w:ascii="Times New Roman" w:hAnsi="Times New Roman" w:cs="Times New Roman"/>
          <w:color w:val="222222"/>
          <w:sz w:val="24"/>
          <w:szCs w:val="24"/>
          <w:lang w:val="es-ES_tradnl" w:eastAsia="es-ES"/>
        </w:rPr>
        <w:footnoteReference w:id="2"/>
      </w:r>
      <w:r w:rsidRPr="00073699">
        <w:rPr>
          <w:rFonts w:ascii="Times New Roman" w:hAnsi="Times New Roman" w:cs="Times New Roman"/>
          <w:color w:val="222222"/>
          <w:sz w:val="24"/>
          <w:szCs w:val="24"/>
          <w:lang w:val="es-ES_tradnl" w:eastAsia="es-ES"/>
        </w:rPr>
        <w:t>.</w:t>
      </w:r>
    </w:p>
    <w:p w14:paraId="7DFAB628" w14:textId="77777777" w:rsidR="0011162B" w:rsidRDefault="0011162B" w:rsidP="0011162B">
      <w:pPr>
        <w:spacing w:after="0" w:line="240" w:lineRule="auto"/>
        <w:jc w:val="both"/>
        <w:rPr>
          <w:rFonts w:ascii="Times New Roman" w:hAnsi="Times New Roman" w:cs="Times New Roman"/>
          <w:color w:val="222222"/>
          <w:sz w:val="24"/>
          <w:szCs w:val="24"/>
          <w:lang w:val="es-ES_tradnl" w:eastAsia="es-ES"/>
        </w:rPr>
      </w:pPr>
    </w:p>
    <w:p w14:paraId="162B1924" w14:textId="77777777" w:rsidR="0011162B" w:rsidRDefault="0011162B" w:rsidP="0011162B">
      <w:pPr>
        <w:spacing w:after="0" w:line="240" w:lineRule="auto"/>
        <w:jc w:val="both"/>
        <w:rPr>
          <w:rFonts w:ascii="Times New Roman" w:hAnsi="Times New Roman" w:cs="Times New Roman"/>
          <w:color w:val="222222"/>
          <w:sz w:val="24"/>
          <w:szCs w:val="24"/>
          <w:lang w:val="es-ES_tradnl" w:eastAsia="es-ES"/>
        </w:rPr>
      </w:pPr>
      <w:r>
        <w:rPr>
          <w:rFonts w:ascii="Times New Roman" w:hAnsi="Times New Roman" w:cs="Times New Roman"/>
          <w:color w:val="222222"/>
          <w:sz w:val="24"/>
          <w:szCs w:val="24"/>
          <w:lang w:val="es-ES_tradnl" w:eastAsia="es-ES"/>
        </w:rPr>
        <w:t>En nuestro país</w:t>
      </w:r>
      <w:r>
        <w:rPr>
          <w:rStyle w:val="Refdenotaalpie"/>
          <w:rFonts w:ascii="Times New Roman" w:hAnsi="Times New Roman" w:cs="Times New Roman"/>
          <w:color w:val="222222"/>
          <w:sz w:val="24"/>
          <w:szCs w:val="24"/>
          <w:lang w:val="es-ES_tradnl" w:eastAsia="es-ES"/>
        </w:rPr>
        <w:footnoteReference w:id="3"/>
      </w:r>
      <w:r>
        <w:rPr>
          <w:rFonts w:ascii="Times New Roman" w:hAnsi="Times New Roman" w:cs="Times New Roman"/>
          <w:color w:val="222222"/>
          <w:sz w:val="24"/>
          <w:szCs w:val="24"/>
          <w:lang w:val="es-ES_tradnl" w:eastAsia="es-ES"/>
        </w:rPr>
        <w:t xml:space="preserve">, regiones como la catalana, han sabido identificar estos problemas de manera integral, por ejemplo la Ley </w:t>
      </w:r>
      <w:r w:rsidRPr="00086125">
        <w:rPr>
          <w:rFonts w:ascii="Times New Roman" w:hAnsi="Times New Roman" w:cs="Times New Roman"/>
          <w:color w:val="222222"/>
          <w:sz w:val="24"/>
          <w:szCs w:val="24"/>
          <w:lang w:val="es-ES_tradnl" w:eastAsia="es-ES"/>
        </w:rPr>
        <w:t>16/2017, d</w:t>
      </w:r>
      <w:r>
        <w:rPr>
          <w:rFonts w:ascii="Times New Roman" w:hAnsi="Times New Roman" w:cs="Times New Roman"/>
          <w:color w:val="222222"/>
          <w:sz w:val="24"/>
          <w:szCs w:val="24"/>
          <w:lang w:val="es-ES_tradnl" w:eastAsia="es-ES"/>
        </w:rPr>
        <w:t>e 1 de agosto, del cambio climá</w:t>
      </w:r>
      <w:r w:rsidRPr="00086125">
        <w:rPr>
          <w:rFonts w:ascii="Times New Roman" w:hAnsi="Times New Roman" w:cs="Times New Roman"/>
          <w:color w:val="222222"/>
          <w:sz w:val="24"/>
          <w:szCs w:val="24"/>
          <w:lang w:val="es-ES_tradnl" w:eastAsia="es-ES"/>
        </w:rPr>
        <w:t>tico</w:t>
      </w:r>
      <w:r>
        <w:rPr>
          <w:rFonts w:ascii="Times New Roman" w:hAnsi="Times New Roman" w:cs="Times New Roman"/>
          <w:color w:val="222222"/>
          <w:sz w:val="24"/>
          <w:szCs w:val="24"/>
          <w:lang w:val="es-ES_tradnl" w:eastAsia="es-ES"/>
        </w:rPr>
        <w:t xml:space="preserve"> de Cataluña</w:t>
      </w:r>
      <w:r w:rsidRPr="00086125">
        <w:rPr>
          <w:rFonts w:ascii="Times New Roman" w:hAnsi="Times New Roman" w:cs="Times New Roman"/>
          <w:color w:val="222222"/>
          <w:sz w:val="24"/>
          <w:szCs w:val="24"/>
          <w:lang w:val="es-ES_tradnl" w:eastAsia="es-ES"/>
        </w:rPr>
        <w:t>.</w:t>
      </w:r>
      <w:r w:rsidRPr="001A3055">
        <w:rPr>
          <w:rFonts w:ascii="Times New Roman" w:hAnsi="Times New Roman" w:cs="Times New Roman"/>
          <w:color w:val="222222"/>
          <w:sz w:val="24"/>
          <w:szCs w:val="24"/>
          <w:lang w:val="es-ES_tradnl" w:eastAsia="es-ES"/>
        </w:rPr>
        <w:t> </w:t>
      </w:r>
      <w:r>
        <w:rPr>
          <w:rFonts w:ascii="Times New Roman" w:hAnsi="Times New Roman" w:cs="Times New Roman"/>
          <w:color w:val="222222"/>
          <w:sz w:val="24"/>
          <w:szCs w:val="24"/>
          <w:lang w:val="es-ES_tradnl" w:eastAsia="es-ES"/>
        </w:rPr>
        <w:t>Aunque recurrida</w:t>
      </w:r>
      <w:r>
        <w:rPr>
          <w:rStyle w:val="Refdenotaalpie"/>
          <w:rFonts w:ascii="Times New Roman" w:hAnsi="Times New Roman" w:cs="Times New Roman"/>
          <w:color w:val="222222"/>
          <w:sz w:val="24"/>
          <w:szCs w:val="24"/>
          <w:lang w:val="es-ES_tradnl" w:eastAsia="es-ES"/>
        </w:rPr>
        <w:footnoteReference w:id="4"/>
      </w:r>
      <w:r>
        <w:rPr>
          <w:rFonts w:ascii="Times New Roman" w:hAnsi="Times New Roman" w:cs="Times New Roman"/>
          <w:color w:val="222222"/>
          <w:sz w:val="24"/>
          <w:szCs w:val="24"/>
          <w:lang w:val="es-ES_tradnl" w:eastAsia="es-ES"/>
        </w:rPr>
        <w:t xml:space="preserve"> ante el Tribunal Constitucional, dicha norma contiene </w:t>
      </w:r>
      <w:r>
        <w:rPr>
          <w:rFonts w:ascii="Times New Roman" w:hAnsi="Times New Roman" w:cs="Times New Roman"/>
          <w:color w:val="222222"/>
          <w:sz w:val="24"/>
          <w:szCs w:val="24"/>
          <w:lang w:val="es-ES_tradnl" w:eastAsia="es-ES"/>
        </w:rPr>
        <w:lastRenderedPageBreak/>
        <w:t>preceptos que hacen referencia a la cuestión agrícola y alimentaria, exceptuados de esa tacha de inconstitucionalidad y, por tanto, están vigentes. En la presente comunicación se analizarán los beneficios de estas determinaciones normativas por paradigmáticas en relación a la ley nacional de cambio climático y transición energética- , actualmente en elaboración</w:t>
      </w:r>
      <w:r>
        <w:rPr>
          <w:rStyle w:val="Refdenotaalpie"/>
          <w:rFonts w:ascii="Times New Roman" w:hAnsi="Times New Roman" w:cs="Times New Roman"/>
          <w:color w:val="222222"/>
          <w:sz w:val="24"/>
          <w:szCs w:val="24"/>
          <w:lang w:val="es-ES_tradnl" w:eastAsia="es-ES"/>
        </w:rPr>
        <w:footnoteReference w:id="5"/>
      </w:r>
      <w:r>
        <w:rPr>
          <w:rFonts w:ascii="Times New Roman" w:hAnsi="Times New Roman" w:cs="Times New Roman"/>
          <w:color w:val="222222"/>
          <w:sz w:val="24"/>
          <w:szCs w:val="24"/>
          <w:lang w:val="es-ES_tradnl" w:eastAsia="es-ES"/>
        </w:rPr>
        <w:t xml:space="preserve"> y, además, en un contexto de reforma de la Política Agrícola Común (PAC). </w:t>
      </w:r>
    </w:p>
    <w:p w14:paraId="0E703041" w14:textId="77777777" w:rsidR="0011162B" w:rsidRDefault="0011162B" w:rsidP="0011162B">
      <w:pPr>
        <w:spacing w:after="0" w:line="240" w:lineRule="auto"/>
        <w:jc w:val="both"/>
        <w:rPr>
          <w:rFonts w:ascii="Times New Roman" w:hAnsi="Times New Roman" w:cs="Times New Roman"/>
          <w:color w:val="222222"/>
          <w:sz w:val="24"/>
          <w:szCs w:val="24"/>
          <w:lang w:val="es-ES_tradnl" w:eastAsia="es-ES"/>
        </w:rPr>
      </w:pPr>
      <w:r>
        <w:rPr>
          <w:rFonts w:ascii="Times New Roman" w:hAnsi="Times New Roman" w:cs="Times New Roman"/>
          <w:color w:val="222222"/>
          <w:sz w:val="24"/>
          <w:szCs w:val="24"/>
          <w:lang w:val="es-ES_tradnl" w:eastAsia="es-ES"/>
        </w:rPr>
        <w:t xml:space="preserve">En el capítulo tercero la ley catalana de cambio climático titulado </w:t>
      </w:r>
      <w:r w:rsidRPr="005901FB">
        <w:rPr>
          <w:rFonts w:ascii="Times New Roman" w:hAnsi="Times New Roman" w:cs="Times New Roman"/>
          <w:i/>
          <w:color w:val="222222"/>
          <w:sz w:val="24"/>
          <w:szCs w:val="24"/>
          <w:lang w:val="es-ES_tradnl" w:eastAsia="es-ES"/>
        </w:rPr>
        <w:t>Políticas sectoriales</w:t>
      </w:r>
      <w:r>
        <w:rPr>
          <w:rFonts w:ascii="Times New Roman" w:hAnsi="Times New Roman" w:cs="Times New Roman"/>
          <w:color w:val="222222"/>
          <w:sz w:val="24"/>
          <w:szCs w:val="24"/>
          <w:lang w:val="es-ES_tradnl" w:eastAsia="es-ES"/>
        </w:rPr>
        <w:t>, divide en dos puntos las medidas para la agricultura y ganadería encaminadas a reducir la vulnerabilidad, las emisiones de gases de efecto invernadero, el desperdicio alimentario y el consumo de recursos. Esta primera</w:t>
      </w:r>
      <w:r>
        <w:rPr>
          <w:rStyle w:val="Refdenotaalpie"/>
          <w:rFonts w:ascii="Times New Roman" w:hAnsi="Times New Roman" w:cs="Times New Roman"/>
          <w:color w:val="222222"/>
          <w:sz w:val="24"/>
          <w:szCs w:val="24"/>
          <w:lang w:val="es-ES_tradnl" w:eastAsia="es-ES"/>
        </w:rPr>
        <w:footnoteReference w:id="6"/>
      </w:r>
      <w:r>
        <w:rPr>
          <w:rFonts w:ascii="Times New Roman" w:hAnsi="Times New Roman" w:cs="Times New Roman"/>
          <w:color w:val="222222"/>
          <w:sz w:val="24"/>
          <w:szCs w:val="24"/>
          <w:lang w:val="es-ES_tradnl" w:eastAsia="es-ES"/>
        </w:rPr>
        <w:t xml:space="preserve"> batería de medidas relaciona hasta nueve y van desde un mejor y más racional aprovechamiento del agua, la progresiva utilización de fertilizantes orgánicos, la promoción de los productos </w:t>
      </w:r>
      <w:proofErr w:type="spellStart"/>
      <w:r>
        <w:rPr>
          <w:rFonts w:ascii="Times New Roman" w:hAnsi="Times New Roman" w:cs="Times New Roman"/>
          <w:color w:val="222222"/>
          <w:sz w:val="24"/>
          <w:szCs w:val="24"/>
          <w:lang w:val="es-ES_tradnl" w:eastAsia="es-ES"/>
        </w:rPr>
        <w:t>agroganaderos</w:t>
      </w:r>
      <w:proofErr w:type="spellEnd"/>
      <w:r>
        <w:rPr>
          <w:rFonts w:ascii="Times New Roman" w:hAnsi="Times New Roman" w:cs="Times New Roman"/>
          <w:color w:val="222222"/>
          <w:sz w:val="24"/>
          <w:szCs w:val="24"/>
          <w:lang w:val="es-ES_tradnl" w:eastAsia="es-ES"/>
        </w:rPr>
        <w:t xml:space="preserve"> ecológicos, hasta el fomento del cambio de la maquinaria agrícola reductora de emisiones de gases de efecto invernadero, entre otras muchas. Si bien se trata de medidas administrativas esencialmente de fomento, el interés de la comunicación se centrará en confrontarlas con las nuevas medidas de la reforma de la PAC en este mismo sentido.</w:t>
      </w:r>
    </w:p>
    <w:p w14:paraId="00F7ED9B" w14:textId="77777777" w:rsidR="000F0F35" w:rsidRDefault="000F0F35"/>
    <w:sectPr w:rsidR="000F0F35" w:rsidSect="00142A6B">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129F2" w14:textId="77777777" w:rsidR="0011162B" w:rsidRDefault="0011162B" w:rsidP="0011162B">
      <w:pPr>
        <w:spacing w:after="0" w:line="240" w:lineRule="auto"/>
      </w:pPr>
      <w:r>
        <w:separator/>
      </w:r>
    </w:p>
  </w:endnote>
  <w:endnote w:type="continuationSeparator" w:id="0">
    <w:p w14:paraId="149642E9" w14:textId="77777777" w:rsidR="0011162B" w:rsidRDefault="0011162B" w:rsidP="0011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30B6E" w14:textId="77777777" w:rsidR="0011162B" w:rsidRDefault="0011162B" w:rsidP="0011162B">
      <w:pPr>
        <w:spacing w:after="0" w:line="240" w:lineRule="auto"/>
      </w:pPr>
      <w:r>
        <w:separator/>
      </w:r>
    </w:p>
  </w:footnote>
  <w:footnote w:type="continuationSeparator" w:id="0">
    <w:p w14:paraId="439BF660" w14:textId="77777777" w:rsidR="0011162B" w:rsidRDefault="0011162B" w:rsidP="0011162B">
      <w:pPr>
        <w:spacing w:after="0" w:line="240" w:lineRule="auto"/>
      </w:pPr>
      <w:r>
        <w:continuationSeparator/>
      </w:r>
    </w:p>
  </w:footnote>
  <w:footnote w:id="1">
    <w:p w14:paraId="127CDB89" w14:textId="77777777" w:rsidR="0011162B" w:rsidRPr="00A768B6" w:rsidRDefault="0011162B" w:rsidP="0011162B">
      <w:pPr>
        <w:pStyle w:val="Textonotapie"/>
        <w:jc w:val="both"/>
        <w:rPr>
          <w:rFonts w:ascii="Times New Roman" w:hAnsi="Times New Roman" w:cs="Times New Roman"/>
          <w:sz w:val="22"/>
          <w:szCs w:val="22"/>
        </w:rPr>
      </w:pPr>
      <w:r w:rsidRPr="00A768B6">
        <w:rPr>
          <w:rStyle w:val="Refdenotaalpie"/>
          <w:rFonts w:ascii="Times New Roman" w:hAnsi="Times New Roman" w:cs="Times New Roman"/>
          <w:sz w:val="22"/>
          <w:szCs w:val="22"/>
        </w:rPr>
        <w:footnoteRef/>
      </w:r>
      <w:r w:rsidRPr="00A768B6">
        <w:rPr>
          <w:rFonts w:ascii="Times New Roman" w:hAnsi="Times New Roman" w:cs="Times New Roman"/>
          <w:sz w:val="22"/>
          <w:szCs w:val="22"/>
        </w:rPr>
        <w:t xml:space="preserve"> FAO, </w:t>
      </w:r>
      <w:r w:rsidRPr="00A768B6">
        <w:rPr>
          <w:rFonts w:ascii="Times New Roman" w:hAnsi="Times New Roman" w:cs="Times New Roman"/>
          <w:i/>
          <w:sz w:val="22"/>
          <w:szCs w:val="22"/>
        </w:rPr>
        <w:t>El estado mundial de la agricultura y la alimentación. Cambio climático, Agricultura y Seguridad Alimentaria.</w:t>
      </w:r>
      <w:r w:rsidRPr="00A768B6">
        <w:rPr>
          <w:rFonts w:ascii="Times New Roman" w:hAnsi="Times New Roman" w:cs="Times New Roman"/>
          <w:sz w:val="22"/>
          <w:szCs w:val="22"/>
        </w:rPr>
        <w:t xml:space="preserve"> Organización de las Naciones Unidas para la Alimentación y la Agricultura. Roma, 2016. Págs. 5-8. Accesible en: </w:t>
      </w:r>
      <w:hyperlink r:id="rId1" w:history="1">
        <w:r w:rsidRPr="00A768B6">
          <w:rPr>
            <w:rStyle w:val="Hipervnculo"/>
            <w:rFonts w:ascii="Times New Roman" w:hAnsi="Times New Roman" w:cs="Times New Roman"/>
            <w:sz w:val="22"/>
            <w:szCs w:val="22"/>
          </w:rPr>
          <w:t>http://www.fao.org/3/a-i6030s.pdf</w:t>
        </w:r>
      </w:hyperlink>
      <w:r w:rsidRPr="00A768B6">
        <w:rPr>
          <w:rFonts w:ascii="Times New Roman" w:hAnsi="Times New Roman" w:cs="Times New Roman"/>
          <w:sz w:val="22"/>
          <w:szCs w:val="22"/>
        </w:rPr>
        <w:t xml:space="preserve"> Fecha de consulta el 1 de diciembre de 2017. O más extensamente el capítulo segundo Clima, agricultura y seguridad alimentaria: estudio detallado de sus</w:t>
      </w:r>
      <w:r>
        <w:rPr>
          <w:rFonts w:ascii="Times New Roman" w:hAnsi="Times New Roman" w:cs="Times New Roman"/>
          <w:sz w:val="22"/>
          <w:szCs w:val="22"/>
        </w:rPr>
        <w:t xml:space="preserve"> </w:t>
      </w:r>
      <w:r w:rsidRPr="00A768B6">
        <w:rPr>
          <w:rFonts w:ascii="Times New Roman" w:hAnsi="Times New Roman" w:cs="Times New Roman"/>
          <w:sz w:val="22"/>
          <w:szCs w:val="22"/>
        </w:rPr>
        <w:t xml:space="preserve">conexiones en págs. 24 y ss. </w:t>
      </w:r>
    </w:p>
  </w:footnote>
  <w:footnote w:id="2">
    <w:p w14:paraId="5AFEC3BA" w14:textId="77777777" w:rsidR="0011162B" w:rsidRPr="00A768B6" w:rsidRDefault="0011162B" w:rsidP="0011162B">
      <w:pPr>
        <w:pStyle w:val="Textonotapie"/>
        <w:jc w:val="both"/>
        <w:rPr>
          <w:rFonts w:ascii="Times New Roman" w:hAnsi="Times New Roman" w:cs="Times New Roman"/>
          <w:sz w:val="22"/>
          <w:szCs w:val="22"/>
          <w:lang w:val="es-ES_tradnl"/>
        </w:rPr>
      </w:pPr>
      <w:r w:rsidRPr="00A768B6">
        <w:rPr>
          <w:rStyle w:val="Refdenotaalpie"/>
          <w:rFonts w:ascii="Times New Roman" w:hAnsi="Times New Roman" w:cs="Times New Roman"/>
          <w:sz w:val="22"/>
          <w:szCs w:val="22"/>
        </w:rPr>
        <w:footnoteRef/>
      </w:r>
      <w:r w:rsidRPr="00A768B6">
        <w:rPr>
          <w:rFonts w:ascii="Times New Roman" w:hAnsi="Times New Roman" w:cs="Times New Roman"/>
          <w:sz w:val="22"/>
          <w:szCs w:val="22"/>
        </w:rPr>
        <w:t xml:space="preserve"> </w:t>
      </w:r>
      <w:r w:rsidRPr="00A768B6">
        <w:rPr>
          <w:rFonts w:ascii="Times New Roman" w:hAnsi="Times New Roman" w:cs="Times New Roman"/>
          <w:sz w:val="22"/>
          <w:szCs w:val="22"/>
        </w:rPr>
        <w:t xml:space="preserve">AGENCIA EUROPEA DEL MEDIO AMBIENTE, </w:t>
      </w:r>
      <w:r w:rsidRPr="00A768B6">
        <w:rPr>
          <w:rFonts w:ascii="Times New Roman" w:hAnsi="Times New Roman" w:cs="Times New Roman"/>
          <w:i/>
          <w:sz w:val="22"/>
          <w:szCs w:val="22"/>
          <w:lang w:val="es-ES_tradnl"/>
        </w:rPr>
        <w:t>Señales 2015, Vivir en un clima cambiante.</w:t>
      </w:r>
      <w:r w:rsidRPr="00A768B6">
        <w:rPr>
          <w:rFonts w:ascii="Times New Roman" w:hAnsi="Times New Roman" w:cs="Times New Roman"/>
          <w:sz w:val="22"/>
          <w:szCs w:val="22"/>
          <w:lang w:val="es-ES_tradnl"/>
        </w:rPr>
        <w:t xml:space="preserve"> </w:t>
      </w:r>
      <w:hyperlink r:id="rId2" w:history="1">
        <w:r w:rsidRPr="00A768B6">
          <w:rPr>
            <w:rStyle w:val="Hipervnculo"/>
            <w:rFonts w:ascii="Times New Roman" w:hAnsi="Times New Roman" w:cs="Times New Roman"/>
            <w:sz w:val="22"/>
            <w:szCs w:val="22"/>
            <w:lang w:val="es-ES_tradnl"/>
          </w:rPr>
          <w:t>https://www.eea.europa.eu/es/senales/senales-2015/articulos/la-agricultura-y-el-cambio-climatico</w:t>
        </w:r>
      </w:hyperlink>
      <w:r w:rsidRPr="00A768B6">
        <w:rPr>
          <w:rFonts w:ascii="Times New Roman" w:hAnsi="Times New Roman" w:cs="Times New Roman"/>
          <w:sz w:val="22"/>
          <w:szCs w:val="22"/>
          <w:lang w:val="es-ES_tradnl"/>
        </w:rPr>
        <w:t xml:space="preserve"> Fecha de consulta 1 de diciembre de 2017. </w:t>
      </w:r>
    </w:p>
  </w:footnote>
  <w:footnote w:id="3">
    <w:p w14:paraId="7AA78FCF" w14:textId="77777777" w:rsidR="0011162B" w:rsidRPr="00A768B6" w:rsidRDefault="0011162B" w:rsidP="0011162B">
      <w:pPr>
        <w:spacing w:before="100" w:beforeAutospacing="1" w:after="100" w:afterAutospacing="1" w:line="240" w:lineRule="auto"/>
        <w:jc w:val="both"/>
        <w:rPr>
          <w:rFonts w:ascii="Times New Roman" w:hAnsi="Times New Roman" w:cs="Times New Roman"/>
          <w:lang w:eastAsia="es-ES"/>
        </w:rPr>
      </w:pPr>
      <w:r w:rsidRPr="00A768B6">
        <w:rPr>
          <w:rStyle w:val="Refdenotaalpie"/>
          <w:rFonts w:ascii="Times New Roman" w:hAnsi="Times New Roman" w:cs="Times New Roman"/>
        </w:rPr>
        <w:footnoteRef/>
      </w:r>
      <w:r w:rsidRPr="00A768B6">
        <w:rPr>
          <w:rFonts w:ascii="Times New Roman" w:hAnsi="Times New Roman" w:cs="Times New Roman"/>
        </w:rPr>
        <w:t xml:space="preserve"> </w:t>
      </w:r>
      <w:r w:rsidRPr="00A768B6">
        <w:rPr>
          <w:rFonts w:ascii="Times New Roman" w:hAnsi="Times New Roman" w:cs="Times New Roman"/>
          <w:lang w:eastAsia="es-ES"/>
        </w:rPr>
        <w:t xml:space="preserve">Regiones como Andalucía, por ejemplo, menos ambiciosa en la determinación de las medidas relacionadas con la mitigación y la adaptación en agricultura. Esta Comunidad Autónoma se encuentra tramitando la una ley de medidas frente al cambio climático. Hasta ahora solo se ha tenido acceso al texto del proyecto de ley publicado por la </w:t>
      </w:r>
      <w:proofErr w:type="spellStart"/>
      <w:r w:rsidRPr="00A768B6">
        <w:rPr>
          <w:rFonts w:ascii="Times New Roman" w:hAnsi="Times New Roman" w:cs="Times New Roman"/>
          <w:lang w:eastAsia="es-ES"/>
        </w:rPr>
        <w:t>Consejería</w:t>
      </w:r>
      <w:proofErr w:type="spellEnd"/>
      <w:r w:rsidRPr="00A768B6">
        <w:rPr>
          <w:rFonts w:ascii="Times New Roman" w:hAnsi="Times New Roman" w:cs="Times New Roman"/>
          <w:lang w:eastAsia="es-ES"/>
        </w:rPr>
        <w:t xml:space="preserve"> de Medio Ambiente y </w:t>
      </w:r>
      <w:proofErr w:type="spellStart"/>
      <w:r w:rsidRPr="00A768B6">
        <w:rPr>
          <w:rFonts w:ascii="Times New Roman" w:hAnsi="Times New Roman" w:cs="Times New Roman"/>
          <w:lang w:eastAsia="es-ES"/>
        </w:rPr>
        <w:t>Ordenación</w:t>
      </w:r>
      <w:proofErr w:type="spellEnd"/>
      <w:r w:rsidRPr="00A768B6">
        <w:rPr>
          <w:rFonts w:ascii="Times New Roman" w:hAnsi="Times New Roman" w:cs="Times New Roman"/>
          <w:lang w:eastAsia="es-ES"/>
        </w:rPr>
        <w:t xml:space="preserve"> del Territorio de la Junta de Andalucía. Nº y </w:t>
      </w:r>
      <w:proofErr w:type="spellStart"/>
      <w:r w:rsidRPr="00A768B6">
        <w:rPr>
          <w:rFonts w:ascii="Times New Roman" w:hAnsi="Times New Roman" w:cs="Times New Roman"/>
          <w:lang w:eastAsia="es-ES"/>
        </w:rPr>
        <w:t>año</w:t>
      </w:r>
      <w:proofErr w:type="spellEnd"/>
      <w:r w:rsidRPr="00A768B6">
        <w:rPr>
          <w:rFonts w:ascii="Times New Roman" w:hAnsi="Times New Roman" w:cs="Times New Roman"/>
          <w:lang w:eastAsia="es-ES"/>
        </w:rPr>
        <w:t xml:space="preserve"> del </w:t>
      </w:r>
      <w:proofErr w:type="spellStart"/>
      <w:r w:rsidRPr="00A768B6">
        <w:rPr>
          <w:rFonts w:ascii="Times New Roman" w:hAnsi="Times New Roman" w:cs="Times New Roman"/>
          <w:lang w:eastAsia="es-ES"/>
        </w:rPr>
        <w:t>expte</w:t>
      </w:r>
      <w:proofErr w:type="spellEnd"/>
      <w:r w:rsidRPr="00A768B6">
        <w:rPr>
          <w:rFonts w:ascii="Times New Roman" w:hAnsi="Times New Roman" w:cs="Times New Roman"/>
          <w:lang w:eastAsia="es-ES"/>
        </w:rPr>
        <w:t>. 324_14-MAOT Referencia 17/10/2017. PROYECTO DE LEY DE MEDIDAS FRENTE AL CAMBIO CLIMÁTICO. Web de consulta: &lt;</w:t>
      </w:r>
      <w:hyperlink r:id="rId3" w:history="1">
        <w:r w:rsidRPr="00A768B6">
          <w:rPr>
            <w:rStyle w:val="Hipervnculo"/>
            <w:rFonts w:ascii="Times New Roman" w:hAnsi="Times New Roman" w:cs="Times New Roman"/>
            <w:lang w:eastAsia="es-ES"/>
          </w:rPr>
          <w:t>http://www.juntadeandalucia.es/medioambiente/portal_web/web/servicios/actualidad/noticias/documentos/proyecto_cc.pdf</w:t>
        </w:r>
      </w:hyperlink>
      <w:r w:rsidRPr="00A768B6">
        <w:rPr>
          <w:rFonts w:ascii="Times New Roman" w:hAnsi="Times New Roman" w:cs="Times New Roman"/>
          <w:lang w:eastAsia="es-ES"/>
        </w:rPr>
        <w:t xml:space="preserve"> &gt; Último acceso el 6 de diciembre de 2017.</w:t>
      </w:r>
    </w:p>
  </w:footnote>
  <w:footnote w:id="4">
    <w:p w14:paraId="0944DEDB" w14:textId="77777777" w:rsidR="0011162B" w:rsidRPr="00CE451E" w:rsidRDefault="0011162B" w:rsidP="0011162B">
      <w:pPr>
        <w:pStyle w:val="Textonotapie"/>
        <w:jc w:val="both"/>
        <w:rPr>
          <w:rFonts w:ascii="Times New Roman" w:hAnsi="Times New Roman" w:cs="Times New Roman"/>
          <w:sz w:val="22"/>
          <w:szCs w:val="22"/>
        </w:rPr>
      </w:pPr>
      <w:r w:rsidRPr="00A768B6">
        <w:rPr>
          <w:rStyle w:val="Refdenotaalpie"/>
          <w:rFonts w:ascii="Times New Roman" w:hAnsi="Times New Roman" w:cs="Times New Roman"/>
          <w:sz w:val="22"/>
          <w:szCs w:val="22"/>
        </w:rPr>
        <w:footnoteRef/>
      </w:r>
      <w:r w:rsidRPr="00A768B6">
        <w:rPr>
          <w:rFonts w:ascii="Times New Roman" w:hAnsi="Times New Roman" w:cs="Times New Roman"/>
          <w:sz w:val="22"/>
          <w:szCs w:val="22"/>
        </w:rPr>
        <w:t xml:space="preserve"> </w:t>
      </w:r>
      <w:r w:rsidRPr="00A768B6">
        <w:rPr>
          <w:rFonts w:ascii="Times New Roman" w:hAnsi="Times New Roman" w:cs="Times New Roman"/>
          <w:sz w:val="22"/>
          <w:szCs w:val="22"/>
        </w:rPr>
        <w:t xml:space="preserve">El Pleno del Tribunal Constitucional, por providencia de 28 de noviembre de 2017, ha acordado admitir a </w:t>
      </w:r>
      <w:proofErr w:type="spellStart"/>
      <w:r w:rsidRPr="00A768B6">
        <w:rPr>
          <w:rFonts w:ascii="Times New Roman" w:hAnsi="Times New Roman" w:cs="Times New Roman"/>
          <w:sz w:val="22"/>
          <w:szCs w:val="22"/>
        </w:rPr>
        <w:t>trámite</w:t>
      </w:r>
      <w:proofErr w:type="spellEnd"/>
      <w:r w:rsidRPr="00A768B6">
        <w:rPr>
          <w:rFonts w:ascii="Times New Roman" w:hAnsi="Times New Roman" w:cs="Times New Roman"/>
          <w:sz w:val="22"/>
          <w:szCs w:val="22"/>
        </w:rPr>
        <w:t xml:space="preserve"> el recurso de inconstitucionalidad </w:t>
      </w:r>
      <w:proofErr w:type="spellStart"/>
      <w:r w:rsidRPr="00A768B6">
        <w:rPr>
          <w:rFonts w:ascii="Times New Roman" w:hAnsi="Times New Roman" w:cs="Times New Roman"/>
          <w:sz w:val="22"/>
          <w:szCs w:val="22"/>
        </w:rPr>
        <w:t>núm</w:t>
      </w:r>
      <w:proofErr w:type="spellEnd"/>
      <w:r w:rsidRPr="00A768B6">
        <w:rPr>
          <w:rFonts w:ascii="Times New Roman" w:hAnsi="Times New Roman" w:cs="Times New Roman"/>
          <w:sz w:val="22"/>
          <w:szCs w:val="22"/>
        </w:rPr>
        <w:t xml:space="preserve">. 5334-2017, promovido por el Presidente del Gobierno, contra los </w:t>
      </w:r>
      <w:proofErr w:type="spellStart"/>
      <w:r w:rsidRPr="00A768B6">
        <w:rPr>
          <w:rFonts w:ascii="Times New Roman" w:hAnsi="Times New Roman" w:cs="Times New Roman"/>
          <w:sz w:val="22"/>
          <w:szCs w:val="22"/>
        </w:rPr>
        <w:t>artículos</w:t>
      </w:r>
      <w:proofErr w:type="spellEnd"/>
      <w:r w:rsidRPr="00A768B6">
        <w:rPr>
          <w:rFonts w:ascii="Times New Roman" w:hAnsi="Times New Roman" w:cs="Times New Roman"/>
          <w:sz w:val="22"/>
          <w:szCs w:val="22"/>
        </w:rPr>
        <w:t xml:space="preserve"> 2.2. e) [(que por su </w:t>
      </w:r>
      <w:proofErr w:type="spellStart"/>
      <w:r w:rsidRPr="00A768B6">
        <w:rPr>
          <w:rFonts w:ascii="Times New Roman" w:hAnsi="Times New Roman" w:cs="Times New Roman"/>
          <w:sz w:val="22"/>
          <w:szCs w:val="22"/>
        </w:rPr>
        <w:t>ubicación</w:t>
      </w:r>
      <w:proofErr w:type="spellEnd"/>
      <w:r w:rsidRPr="00A768B6">
        <w:rPr>
          <w:rFonts w:ascii="Times New Roman" w:hAnsi="Times New Roman" w:cs="Times New Roman"/>
          <w:sz w:val="22"/>
          <w:szCs w:val="22"/>
        </w:rPr>
        <w:t xml:space="preserve"> </w:t>
      </w:r>
      <w:proofErr w:type="spellStart"/>
      <w:r w:rsidRPr="00A768B6">
        <w:rPr>
          <w:rFonts w:ascii="Times New Roman" w:hAnsi="Times New Roman" w:cs="Times New Roman"/>
          <w:sz w:val="22"/>
          <w:szCs w:val="22"/>
        </w:rPr>
        <w:t>sistemática</w:t>
      </w:r>
      <w:proofErr w:type="spellEnd"/>
      <w:r w:rsidRPr="00A768B6">
        <w:rPr>
          <w:rFonts w:ascii="Times New Roman" w:hAnsi="Times New Roman" w:cs="Times New Roman"/>
          <w:sz w:val="22"/>
          <w:szCs w:val="22"/>
        </w:rPr>
        <w:t xml:space="preserve"> </w:t>
      </w:r>
      <w:proofErr w:type="spellStart"/>
      <w:r w:rsidRPr="00A768B6">
        <w:rPr>
          <w:rFonts w:ascii="Times New Roman" w:hAnsi="Times New Roman" w:cs="Times New Roman"/>
          <w:sz w:val="22"/>
          <w:szCs w:val="22"/>
        </w:rPr>
        <w:t>debería</w:t>
      </w:r>
      <w:proofErr w:type="spellEnd"/>
      <w:r w:rsidRPr="00715CB7">
        <w:rPr>
          <w:rFonts w:ascii="Times New Roman" w:hAnsi="Times New Roman" w:cs="Times New Roman"/>
          <w:sz w:val="22"/>
          <w:szCs w:val="22"/>
        </w:rPr>
        <w:t xml:space="preserve"> ser 2.2.i)], 4.e), 5, 6, 7, 8, 10, 11, 16.3, 19, 21.4, 24.3, 24.4, 40 a 50, 51 (inciso final del apartado 1 y letras a) y b) del apartado 3), 52.1, 52.3; las disposiciones adicionales primera, segunda, tercera y </w:t>
      </w:r>
      <w:proofErr w:type="spellStart"/>
      <w:r w:rsidRPr="00715CB7">
        <w:rPr>
          <w:rFonts w:ascii="Times New Roman" w:hAnsi="Times New Roman" w:cs="Times New Roman"/>
          <w:sz w:val="22"/>
          <w:szCs w:val="22"/>
        </w:rPr>
        <w:t>séptima</w:t>
      </w:r>
      <w:proofErr w:type="spellEnd"/>
      <w:r w:rsidRPr="00715CB7">
        <w:rPr>
          <w:rFonts w:ascii="Times New Roman" w:hAnsi="Times New Roman" w:cs="Times New Roman"/>
          <w:sz w:val="22"/>
          <w:szCs w:val="22"/>
        </w:rPr>
        <w:t xml:space="preserve">; </w:t>
      </w:r>
      <w:proofErr w:type="spellStart"/>
      <w:r w:rsidRPr="00715CB7">
        <w:rPr>
          <w:rFonts w:ascii="Times New Roman" w:hAnsi="Times New Roman" w:cs="Times New Roman"/>
          <w:sz w:val="22"/>
          <w:szCs w:val="22"/>
        </w:rPr>
        <w:t>disposición</w:t>
      </w:r>
      <w:proofErr w:type="spellEnd"/>
      <w:r w:rsidRPr="00715CB7">
        <w:rPr>
          <w:rFonts w:ascii="Times New Roman" w:hAnsi="Times New Roman" w:cs="Times New Roman"/>
          <w:sz w:val="22"/>
          <w:szCs w:val="22"/>
        </w:rPr>
        <w:t xml:space="preserve"> transitoria tercera; y las disposiciones finales quinta y sexta; de la Ley del Parlamento de </w:t>
      </w:r>
      <w:proofErr w:type="spellStart"/>
      <w:r w:rsidRPr="00715CB7">
        <w:rPr>
          <w:rFonts w:ascii="Times New Roman" w:hAnsi="Times New Roman" w:cs="Times New Roman"/>
          <w:sz w:val="22"/>
          <w:szCs w:val="22"/>
        </w:rPr>
        <w:t>Cataluña</w:t>
      </w:r>
      <w:proofErr w:type="spellEnd"/>
      <w:r w:rsidRPr="00715CB7">
        <w:rPr>
          <w:rFonts w:ascii="Times New Roman" w:hAnsi="Times New Roman" w:cs="Times New Roman"/>
          <w:sz w:val="22"/>
          <w:szCs w:val="22"/>
        </w:rPr>
        <w:t xml:space="preserve"> 16/2017, de 1 de agosto, del Cambio </w:t>
      </w:r>
      <w:proofErr w:type="spellStart"/>
      <w:r w:rsidRPr="00715CB7">
        <w:rPr>
          <w:rFonts w:ascii="Times New Roman" w:hAnsi="Times New Roman" w:cs="Times New Roman"/>
          <w:sz w:val="22"/>
          <w:szCs w:val="22"/>
        </w:rPr>
        <w:t>Climático</w:t>
      </w:r>
      <w:proofErr w:type="spellEnd"/>
      <w:r w:rsidRPr="00715CB7">
        <w:rPr>
          <w:rFonts w:ascii="Times New Roman" w:hAnsi="Times New Roman" w:cs="Times New Roman"/>
          <w:sz w:val="22"/>
          <w:szCs w:val="22"/>
        </w:rPr>
        <w:t xml:space="preserve">. Y se hace constar que por el Presidente del Gobierno se ha invocado el art. 161.2 de la </w:t>
      </w:r>
      <w:proofErr w:type="spellStart"/>
      <w:r w:rsidRPr="00715CB7">
        <w:rPr>
          <w:rFonts w:ascii="Times New Roman" w:hAnsi="Times New Roman" w:cs="Times New Roman"/>
          <w:sz w:val="22"/>
          <w:szCs w:val="22"/>
        </w:rPr>
        <w:t>Constitución</w:t>
      </w:r>
      <w:proofErr w:type="spellEnd"/>
      <w:r w:rsidRPr="00715CB7">
        <w:rPr>
          <w:rFonts w:ascii="Times New Roman" w:hAnsi="Times New Roman" w:cs="Times New Roman"/>
          <w:sz w:val="22"/>
          <w:szCs w:val="22"/>
        </w:rPr>
        <w:t xml:space="preserve">, lo que produce la </w:t>
      </w:r>
      <w:proofErr w:type="spellStart"/>
      <w:r w:rsidRPr="00715CB7">
        <w:rPr>
          <w:rFonts w:ascii="Times New Roman" w:hAnsi="Times New Roman" w:cs="Times New Roman"/>
          <w:sz w:val="22"/>
          <w:szCs w:val="22"/>
        </w:rPr>
        <w:t>suspensión</w:t>
      </w:r>
      <w:proofErr w:type="spellEnd"/>
      <w:r w:rsidRPr="00715CB7">
        <w:rPr>
          <w:rFonts w:ascii="Times New Roman" w:hAnsi="Times New Roman" w:cs="Times New Roman"/>
          <w:sz w:val="22"/>
          <w:szCs w:val="22"/>
        </w:rPr>
        <w:t xml:space="preserve"> de la vigencia y </w:t>
      </w:r>
      <w:proofErr w:type="spellStart"/>
      <w:r w:rsidRPr="00715CB7">
        <w:rPr>
          <w:rFonts w:ascii="Times New Roman" w:hAnsi="Times New Roman" w:cs="Times New Roman"/>
          <w:sz w:val="22"/>
          <w:szCs w:val="22"/>
        </w:rPr>
        <w:t>aplicación</w:t>
      </w:r>
      <w:proofErr w:type="spellEnd"/>
      <w:r w:rsidRPr="00715CB7">
        <w:rPr>
          <w:rFonts w:ascii="Times New Roman" w:hAnsi="Times New Roman" w:cs="Times New Roman"/>
          <w:sz w:val="22"/>
          <w:szCs w:val="22"/>
        </w:rPr>
        <w:t xml:space="preserve"> de los preceptos impugnados desde la fecha de </w:t>
      </w:r>
      <w:proofErr w:type="spellStart"/>
      <w:r w:rsidRPr="00715CB7">
        <w:rPr>
          <w:rFonts w:ascii="Times New Roman" w:hAnsi="Times New Roman" w:cs="Times New Roman"/>
          <w:sz w:val="22"/>
          <w:szCs w:val="22"/>
        </w:rPr>
        <w:t>interposición</w:t>
      </w:r>
      <w:proofErr w:type="spellEnd"/>
      <w:r w:rsidRPr="00715CB7">
        <w:rPr>
          <w:rFonts w:ascii="Times New Roman" w:hAnsi="Times New Roman" w:cs="Times New Roman"/>
          <w:sz w:val="22"/>
          <w:szCs w:val="22"/>
        </w:rPr>
        <w:t xml:space="preserve"> del recurso –3 de noviembre de 2017–, para las partes del proceso, y </w:t>
      </w:r>
      <w:r w:rsidRPr="005901FB">
        <w:rPr>
          <w:rFonts w:ascii="Times New Roman" w:hAnsi="Times New Roman" w:cs="Times New Roman"/>
          <w:sz w:val="22"/>
          <w:szCs w:val="22"/>
        </w:rPr>
        <w:t xml:space="preserve">desde la </w:t>
      </w:r>
      <w:proofErr w:type="spellStart"/>
      <w:r w:rsidRPr="005901FB">
        <w:rPr>
          <w:rFonts w:ascii="Times New Roman" w:hAnsi="Times New Roman" w:cs="Times New Roman"/>
          <w:sz w:val="22"/>
          <w:szCs w:val="22"/>
        </w:rPr>
        <w:t>publicación</w:t>
      </w:r>
      <w:proofErr w:type="spellEnd"/>
      <w:r w:rsidRPr="005901FB">
        <w:rPr>
          <w:rFonts w:ascii="Times New Roman" w:hAnsi="Times New Roman" w:cs="Times New Roman"/>
          <w:sz w:val="22"/>
          <w:szCs w:val="22"/>
        </w:rPr>
        <w:t xml:space="preserve"> de</w:t>
      </w:r>
      <w:r>
        <w:rPr>
          <w:rFonts w:ascii="Times New Roman" w:hAnsi="Times New Roman" w:cs="Times New Roman"/>
          <w:sz w:val="22"/>
          <w:szCs w:val="22"/>
        </w:rPr>
        <w:t xml:space="preserve">l correspondiente edicto </w:t>
      </w:r>
      <w:r w:rsidRPr="00CE451E">
        <w:rPr>
          <w:rFonts w:ascii="Times New Roman" w:hAnsi="Times New Roman" w:cs="Times New Roman"/>
          <w:sz w:val="22"/>
          <w:szCs w:val="22"/>
        </w:rPr>
        <w:t>en el “</w:t>
      </w:r>
      <w:proofErr w:type="spellStart"/>
      <w:r w:rsidRPr="00CE451E">
        <w:rPr>
          <w:rFonts w:ascii="Times New Roman" w:hAnsi="Times New Roman" w:cs="Times New Roman"/>
          <w:sz w:val="22"/>
          <w:szCs w:val="22"/>
        </w:rPr>
        <w:t>Boletín</w:t>
      </w:r>
      <w:proofErr w:type="spellEnd"/>
      <w:r w:rsidRPr="00CE451E">
        <w:rPr>
          <w:rFonts w:ascii="Times New Roman" w:hAnsi="Times New Roman" w:cs="Times New Roman"/>
          <w:sz w:val="22"/>
          <w:szCs w:val="22"/>
        </w:rPr>
        <w:t xml:space="preserve"> Oficial del Estado” para los terceros.</w:t>
      </w:r>
      <w:r>
        <w:rPr>
          <w:rFonts w:ascii="Times New Roman" w:hAnsi="Times New Roman" w:cs="Times New Roman"/>
          <w:sz w:val="22"/>
          <w:szCs w:val="22"/>
        </w:rPr>
        <w:t xml:space="preserve"> BOE de 4 de diciembre de 2017, núm. 294. </w:t>
      </w:r>
    </w:p>
  </w:footnote>
  <w:footnote w:id="5">
    <w:p w14:paraId="32262557" w14:textId="77777777" w:rsidR="0011162B" w:rsidRPr="00CE451E" w:rsidRDefault="0011162B" w:rsidP="0011162B">
      <w:pPr>
        <w:pStyle w:val="Textonotapie"/>
        <w:jc w:val="both"/>
        <w:rPr>
          <w:rFonts w:ascii="Times New Roman" w:hAnsi="Times New Roman" w:cs="Times New Roman"/>
          <w:sz w:val="22"/>
          <w:szCs w:val="22"/>
          <w:lang w:val="es-ES_tradnl"/>
        </w:rPr>
      </w:pPr>
      <w:r w:rsidRPr="00CE451E">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sidRPr="00B31F14">
        <w:rPr>
          <w:rFonts w:ascii="Times New Roman" w:hAnsi="Times New Roman" w:cs="Times New Roman"/>
          <w:sz w:val="22"/>
          <w:szCs w:val="22"/>
        </w:rPr>
        <w:t>A día de hoy ha finalizado el período de consulta pública y participación en la elaboración de esta norma habiéndose recibido más de 350 propuestas a la consulta pública que ha estado abierta desde el 18 de julio hasta el pasado 10 de octubre de 2017, que están siendo analizadas</w:t>
      </w:r>
      <w:r>
        <w:rPr>
          <w:rFonts w:ascii="Times New Roman" w:hAnsi="Times New Roman" w:cs="Times New Roman"/>
          <w:sz w:val="22"/>
          <w:szCs w:val="22"/>
        </w:rPr>
        <w:t>. Web de la c</w:t>
      </w:r>
      <w:r w:rsidRPr="00CE451E">
        <w:rPr>
          <w:rFonts w:ascii="Times New Roman" w:hAnsi="Times New Roman" w:cs="Times New Roman"/>
          <w:sz w:val="22"/>
          <w:szCs w:val="22"/>
        </w:rPr>
        <w:t>on</w:t>
      </w:r>
      <w:r>
        <w:rPr>
          <w:rFonts w:ascii="Times New Roman" w:hAnsi="Times New Roman" w:cs="Times New Roman"/>
          <w:sz w:val="22"/>
          <w:szCs w:val="22"/>
        </w:rPr>
        <w:t xml:space="preserve">sulta pública </w:t>
      </w:r>
      <w:r w:rsidRPr="00CE451E">
        <w:rPr>
          <w:rFonts w:ascii="Times New Roman" w:hAnsi="Times New Roman" w:cs="Times New Roman"/>
          <w:sz w:val="22"/>
          <w:szCs w:val="22"/>
        </w:rPr>
        <w:t xml:space="preserve">previa </w:t>
      </w:r>
      <w:r>
        <w:rPr>
          <w:rFonts w:ascii="Times New Roman" w:hAnsi="Times New Roman" w:cs="Times New Roman"/>
          <w:sz w:val="22"/>
          <w:szCs w:val="22"/>
        </w:rPr>
        <w:t xml:space="preserve">a la </w:t>
      </w:r>
      <w:r w:rsidRPr="00CE451E">
        <w:rPr>
          <w:rFonts w:ascii="Times New Roman" w:hAnsi="Times New Roman" w:cs="Times New Roman"/>
          <w:sz w:val="22"/>
          <w:szCs w:val="22"/>
        </w:rPr>
        <w:t>elaboración del texto del Anteproyecto de le de cambio climático y transición energética, en virtud del artículo 26.2 de la ley 50/1997, de 27 de noviembre del Gobierno. Fecha de consulta: 3</w:t>
      </w:r>
      <w:r>
        <w:rPr>
          <w:rFonts w:ascii="Times New Roman" w:hAnsi="Times New Roman" w:cs="Times New Roman"/>
          <w:sz w:val="22"/>
          <w:szCs w:val="22"/>
        </w:rPr>
        <w:t xml:space="preserve"> de diciembre de 2017</w:t>
      </w:r>
      <w:r w:rsidRPr="00CE451E">
        <w:rPr>
          <w:rFonts w:ascii="Times New Roman" w:hAnsi="Times New Roman" w:cs="Times New Roman"/>
          <w:sz w:val="22"/>
          <w:szCs w:val="22"/>
        </w:rPr>
        <w:t>.&lt;</w:t>
      </w:r>
      <w:hyperlink r:id="rId4" w:history="1">
        <w:r w:rsidRPr="00CE451E">
          <w:rPr>
            <w:rStyle w:val="Hipervnculo"/>
            <w:rFonts w:ascii="Times New Roman" w:hAnsi="Times New Roman" w:cs="Times New Roman"/>
            <w:sz w:val="22"/>
            <w:szCs w:val="22"/>
          </w:rPr>
          <w:t>http://www.lccte.gob.es/index.html#antecedentes</w:t>
        </w:r>
      </w:hyperlink>
      <w:r w:rsidRPr="00CE451E">
        <w:rPr>
          <w:rFonts w:ascii="Times New Roman" w:hAnsi="Times New Roman" w:cs="Times New Roman"/>
          <w:sz w:val="22"/>
          <w:szCs w:val="22"/>
        </w:rPr>
        <w:t xml:space="preserve"> &gt;</w:t>
      </w:r>
    </w:p>
  </w:footnote>
  <w:footnote w:id="6">
    <w:p w14:paraId="7C7353C4" w14:textId="77777777" w:rsidR="0011162B" w:rsidRPr="005901FB" w:rsidRDefault="0011162B" w:rsidP="0011162B">
      <w:pPr>
        <w:pStyle w:val="Textonotapie"/>
        <w:rPr>
          <w:rFonts w:ascii="Times New Roman" w:hAnsi="Times New Roman" w:cs="Times New Roman"/>
          <w:sz w:val="22"/>
          <w:szCs w:val="22"/>
          <w:lang w:val="es-ES_tradnl"/>
        </w:rPr>
      </w:pPr>
      <w:r w:rsidRPr="00CE451E">
        <w:rPr>
          <w:rStyle w:val="Refdenotaalpie"/>
          <w:rFonts w:ascii="Times New Roman" w:hAnsi="Times New Roman" w:cs="Times New Roman"/>
          <w:sz w:val="22"/>
          <w:szCs w:val="22"/>
        </w:rPr>
        <w:footnoteRef/>
      </w:r>
      <w:r w:rsidRPr="00CE451E">
        <w:rPr>
          <w:rFonts w:ascii="Times New Roman" w:hAnsi="Times New Roman" w:cs="Times New Roman"/>
          <w:sz w:val="22"/>
          <w:szCs w:val="22"/>
        </w:rPr>
        <w:t xml:space="preserve"> </w:t>
      </w:r>
      <w:r w:rsidRPr="00CE451E">
        <w:rPr>
          <w:rFonts w:ascii="Times New Roman" w:hAnsi="Times New Roman" w:cs="Times New Roman"/>
          <w:sz w:val="22"/>
          <w:szCs w:val="22"/>
        </w:rPr>
        <w:t xml:space="preserve">Art. 14.1 de la Ley 16/2017, de 1 de agosto, del cambio </w:t>
      </w:r>
      <w:proofErr w:type="spellStart"/>
      <w:r w:rsidRPr="00CE451E">
        <w:rPr>
          <w:rFonts w:ascii="Times New Roman" w:hAnsi="Times New Roman" w:cs="Times New Roman"/>
          <w:sz w:val="22"/>
          <w:szCs w:val="22"/>
        </w:rPr>
        <w:t>climático</w:t>
      </w:r>
      <w:proofErr w:type="spellEnd"/>
      <w:r>
        <w:rPr>
          <w:rFonts w:ascii="Times New Roman" w:hAnsi="Times New Roman" w:cs="Times New Roman"/>
          <w:sz w:val="22"/>
          <w:szCs w:val="22"/>
        </w:rPr>
        <w:t xml:space="preserve"> de Cataluña</w:t>
      </w:r>
      <w:r w:rsidRPr="00CE451E">
        <w:rPr>
          <w:rFonts w:ascii="Times New Roman" w:hAnsi="Times New Roman" w:cs="Times New Roman"/>
          <w:sz w:val="22"/>
          <w:szCs w:val="22"/>
        </w:rPr>
        <w:t>.</w:t>
      </w:r>
      <w:r>
        <w:rPr>
          <w:rFonts w:ascii="Times New Roman" w:hAnsi="Times New Roman" w:cs="Times New Roman"/>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2B"/>
    <w:rsid w:val="000F0F35"/>
    <w:rsid w:val="0011162B"/>
    <w:rsid w:val="00142A6B"/>
    <w:rsid w:val="001E4CEE"/>
    <w:rsid w:val="00D64D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0F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2B"/>
    <w:pPr>
      <w:spacing w:after="160" w:line="259"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162B"/>
    <w:rPr>
      <w:color w:val="0000FF"/>
      <w:u w:val="single"/>
    </w:rPr>
  </w:style>
  <w:style w:type="paragraph" w:styleId="Textonotapie">
    <w:name w:val="footnote text"/>
    <w:basedOn w:val="Normal"/>
    <w:link w:val="TextonotapieCar"/>
    <w:uiPriority w:val="99"/>
    <w:unhideWhenUsed/>
    <w:rsid w:val="0011162B"/>
    <w:pPr>
      <w:spacing w:after="0" w:line="240" w:lineRule="auto"/>
    </w:pPr>
    <w:rPr>
      <w:sz w:val="20"/>
      <w:szCs w:val="20"/>
    </w:rPr>
  </w:style>
  <w:style w:type="character" w:customStyle="1" w:styleId="TextonotapieCar">
    <w:name w:val="Texto nota pie Car"/>
    <w:basedOn w:val="Fuentedeprrafopredeter"/>
    <w:link w:val="Textonotapie"/>
    <w:uiPriority w:val="99"/>
    <w:rsid w:val="0011162B"/>
    <w:rPr>
      <w:rFonts w:eastAsiaTheme="minorHAnsi"/>
      <w:sz w:val="20"/>
      <w:szCs w:val="20"/>
      <w:lang w:val="es-ES" w:eastAsia="en-US"/>
    </w:rPr>
  </w:style>
  <w:style w:type="character" w:styleId="Refdenotaalpie">
    <w:name w:val="footnote reference"/>
    <w:basedOn w:val="Fuentedeprrafopredeter"/>
    <w:uiPriority w:val="99"/>
    <w:unhideWhenUsed/>
    <w:rsid w:val="0011162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2B"/>
    <w:pPr>
      <w:spacing w:after="160" w:line="259"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162B"/>
    <w:rPr>
      <w:color w:val="0000FF"/>
      <w:u w:val="single"/>
    </w:rPr>
  </w:style>
  <w:style w:type="paragraph" w:styleId="Textonotapie">
    <w:name w:val="footnote text"/>
    <w:basedOn w:val="Normal"/>
    <w:link w:val="TextonotapieCar"/>
    <w:uiPriority w:val="99"/>
    <w:unhideWhenUsed/>
    <w:rsid w:val="0011162B"/>
    <w:pPr>
      <w:spacing w:after="0" w:line="240" w:lineRule="auto"/>
    </w:pPr>
    <w:rPr>
      <w:sz w:val="20"/>
      <w:szCs w:val="20"/>
    </w:rPr>
  </w:style>
  <w:style w:type="character" w:customStyle="1" w:styleId="TextonotapieCar">
    <w:name w:val="Texto nota pie Car"/>
    <w:basedOn w:val="Fuentedeprrafopredeter"/>
    <w:link w:val="Textonotapie"/>
    <w:uiPriority w:val="99"/>
    <w:rsid w:val="0011162B"/>
    <w:rPr>
      <w:rFonts w:eastAsiaTheme="minorHAnsi"/>
      <w:sz w:val="20"/>
      <w:szCs w:val="20"/>
      <w:lang w:val="es-ES" w:eastAsia="en-US"/>
    </w:rPr>
  </w:style>
  <w:style w:type="character" w:styleId="Refdenotaalpie">
    <w:name w:val="footnote reference"/>
    <w:basedOn w:val="Fuentedeprrafopredeter"/>
    <w:uiPriority w:val="99"/>
    <w:unhideWhenUsed/>
    <w:rsid w:val="001116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hernand@der-pu.uc3m.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juntadeandalucia.es/medioambiente/portal_web/web/servicios/actualidad/noticias/documentos/proyecto_cc.pdf" TargetMode="External"/><Relationship Id="rId4" Type="http://schemas.openxmlformats.org/officeDocument/2006/relationships/hyperlink" Target="http://www.lccte.gob.es/index.html#antecedentes" TargetMode="External"/><Relationship Id="rId1" Type="http://schemas.openxmlformats.org/officeDocument/2006/relationships/hyperlink" Target="http://www.fao.org/3/a-i6030s.pdf" TargetMode="External"/><Relationship Id="rId2" Type="http://schemas.openxmlformats.org/officeDocument/2006/relationships/hyperlink" Target="https://www.eea.europa.eu/es/senales/senales-2015/articulos/la-agricultura-y-el-cambio-clima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2131</Characters>
  <Application>Microsoft Macintosh Word</Application>
  <DocSecurity>0</DocSecurity>
  <Lines>17</Lines>
  <Paragraphs>5</Paragraphs>
  <ScaleCrop>false</ScaleCrop>
  <Company>UNIVERSIDAD CARLOS III DE MADRID</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Hernandez San Juan</dc:creator>
  <cp:keywords/>
  <dc:description/>
  <cp:lastModifiedBy>Isabel Hernandez San Juan</cp:lastModifiedBy>
  <cp:revision>3</cp:revision>
  <dcterms:created xsi:type="dcterms:W3CDTF">2017-12-07T18:57:00Z</dcterms:created>
  <dcterms:modified xsi:type="dcterms:W3CDTF">2017-12-07T19:01:00Z</dcterms:modified>
</cp:coreProperties>
</file>